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E1" w:rsidRDefault="005347E1">
      <w:pPr>
        <w:pStyle w:val="A-Nadpis"/>
        <w:rPr>
          <w:i/>
          <w:iCs/>
          <w:lang w:val="en-GB"/>
        </w:rPr>
      </w:pPr>
      <w:r>
        <w:rPr>
          <w:i/>
          <w:iCs/>
          <w:lang w:val="en-GB"/>
        </w:rPr>
        <w:t>Methodological notes</w:t>
      </w:r>
    </w:p>
    <w:p w:rsidR="005347E1" w:rsidRDefault="005347E1">
      <w:pPr>
        <w:pStyle w:val="Nadpis3"/>
        <w:ind w:firstLine="708"/>
        <w:rPr>
          <w:i/>
          <w:iCs/>
          <w:lang w:val="en-GB"/>
        </w:rPr>
      </w:pPr>
      <w:r>
        <w:rPr>
          <w:b w:val="0"/>
          <w:i/>
          <w:iCs/>
          <w:color w:val="000000"/>
          <w:sz w:val="20"/>
          <w:lang w:val="en-GB"/>
        </w:rPr>
        <w:t>The determination, which municipality is the town, had passed a long-term historical progress. It was done by promotion to town, later by law with list of towns or newly set towns. For more details see the publication Historical lexicon of municipalities of the Czech Republic 1869-</w:t>
      </w:r>
      <w:proofErr w:type="gramStart"/>
      <w:r>
        <w:rPr>
          <w:b w:val="0"/>
          <w:i/>
          <w:iCs/>
          <w:color w:val="000000"/>
          <w:sz w:val="20"/>
          <w:lang w:val="en-GB"/>
        </w:rPr>
        <w:t xml:space="preserve">2005 </w:t>
      </w:r>
      <w:r>
        <w:rPr>
          <w:b w:val="0"/>
          <w:i/>
          <w:iCs/>
          <w:sz w:val="20"/>
          <w:lang w:val="en-GB"/>
        </w:rPr>
        <w:t xml:space="preserve"> (</w:t>
      </w:r>
      <w:proofErr w:type="gramEnd"/>
      <w:r w:rsidR="00026D0A">
        <w:rPr>
          <w:b w:val="0"/>
          <w:bCs w:val="0"/>
          <w:i/>
          <w:iCs/>
          <w:color w:val="000000"/>
          <w:sz w:val="20"/>
          <w:lang w:val="en-GB"/>
        </w:rPr>
        <w:fldChar w:fldCharType="begin"/>
      </w:r>
      <w:r w:rsidR="0018546F">
        <w:rPr>
          <w:b w:val="0"/>
          <w:bCs w:val="0"/>
          <w:i/>
          <w:iCs/>
          <w:color w:val="000000"/>
          <w:sz w:val="20"/>
          <w:lang w:val="en-GB"/>
        </w:rPr>
        <w:instrText>HYPERLINK "http://www.czso.cz/csu/2004edicniplan.nsf/p/4128-04/"</w:instrText>
      </w:r>
      <w:r w:rsidR="00026D0A">
        <w:rPr>
          <w:b w:val="0"/>
          <w:bCs w:val="0"/>
          <w:i/>
          <w:iCs/>
          <w:color w:val="000000"/>
          <w:sz w:val="20"/>
          <w:lang w:val="en-GB"/>
        </w:rPr>
        <w:fldChar w:fldCharType="separate"/>
      </w:r>
      <w:r w:rsidR="0018546F">
        <w:rPr>
          <w:rStyle w:val="Hypertextovodkaz"/>
          <w:b w:val="0"/>
          <w:bCs w:val="0"/>
          <w:i/>
          <w:iCs/>
          <w:color w:val="000000"/>
          <w:sz w:val="20"/>
          <w:lang w:val="en-GB"/>
        </w:rPr>
        <w:t>http://www.czso.cz/csu/2004edicniplan.nsf/p/4128-04/</w:t>
      </w:r>
      <w:r w:rsidR="00026D0A">
        <w:rPr>
          <w:b w:val="0"/>
          <w:bCs w:val="0"/>
          <w:i/>
          <w:iCs/>
          <w:color w:val="000000"/>
          <w:sz w:val="20"/>
          <w:lang w:val="en-GB"/>
        </w:rPr>
        <w:fldChar w:fldCharType="end"/>
      </w:r>
      <w:r>
        <w:rPr>
          <w:b w:val="0"/>
          <w:bCs w:val="0"/>
          <w:i/>
          <w:iCs/>
          <w:color w:val="000000"/>
          <w:sz w:val="20"/>
          <w:lang w:val="en-GB"/>
        </w:rPr>
        <w:t>).</w:t>
      </w:r>
    </w:p>
    <w:p w:rsidR="005347E1" w:rsidRDefault="005347E1">
      <w:pPr>
        <w:pStyle w:val="Metodpozn"/>
        <w:rPr>
          <w:i/>
          <w:iCs/>
          <w:color w:val="auto"/>
          <w:lang w:val="en-GB"/>
        </w:rPr>
      </w:pPr>
      <w:r>
        <w:rPr>
          <w:i/>
          <w:iCs/>
          <w:color w:val="auto"/>
          <w:lang w:val="en-GB"/>
        </w:rPr>
        <w:t xml:space="preserve">There were a total of </w:t>
      </w:r>
      <w:r w:rsidR="00484CD7">
        <w:rPr>
          <w:i/>
          <w:iCs/>
          <w:color w:val="auto"/>
          <w:lang w:val="en-GB"/>
        </w:rPr>
        <w:t>602</w:t>
      </w:r>
      <w:r>
        <w:rPr>
          <w:i/>
          <w:iCs/>
          <w:color w:val="auto"/>
          <w:lang w:val="en-GB"/>
        </w:rPr>
        <w:t xml:space="preserve"> towns, i.e. municipalities with authorized municipal office,</w:t>
      </w:r>
      <w:r>
        <w:rPr>
          <w:i/>
          <w:iCs/>
          <w:color w:val="FF0000"/>
          <w:lang w:val="en-GB"/>
        </w:rPr>
        <w:t xml:space="preserve"> </w:t>
      </w:r>
      <w:r>
        <w:rPr>
          <w:i/>
          <w:iCs/>
          <w:color w:val="auto"/>
          <w:lang w:val="en-GB"/>
        </w:rPr>
        <w:t xml:space="preserve">in the Czech Republic as of 1 </w:t>
      </w:r>
      <w:r w:rsidR="00947FFE">
        <w:rPr>
          <w:i/>
          <w:iCs/>
          <w:color w:val="auto"/>
          <w:lang w:val="en-GB"/>
        </w:rPr>
        <w:t>January</w:t>
      </w:r>
      <w:r>
        <w:rPr>
          <w:i/>
          <w:iCs/>
          <w:color w:val="auto"/>
          <w:lang w:val="en-GB"/>
        </w:rPr>
        <w:t xml:space="preserve"> 201</w:t>
      </w:r>
      <w:r w:rsidR="00484CD7">
        <w:rPr>
          <w:i/>
          <w:iCs/>
          <w:color w:val="auto"/>
          <w:lang w:val="en-GB"/>
        </w:rPr>
        <w:t>3</w:t>
      </w:r>
      <w:r>
        <w:rPr>
          <w:i/>
          <w:iCs/>
          <w:color w:val="auto"/>
          <w:lang w:val="en-GB"/>
        </w:rPr>
        <w:t>.</w:t>
      </w:r>
    </w:p>
    <w:p w:rsidR="005347E1" w:rsidRDefault="005347E1" w:rsidP="001A3A19">
      <w:pPr>
        <w:pStyle w:val="A-Metodika"/>
        <w:spacing w:after="0" w:line="240" w:lineRule="auto"/>
        <w:ind w:firstLine="0"/>
        <w:rPr>
          <w:b/>
          <w:bCs/>
          <w:i/>
          <w:iCs/>
          <w:lang w:val="en-GB"/>
        </w:rPr>
      </w:pPr>
      <w:r>
        <w:rPr>
          <w:b/>
          <w:bCs/>
          <w:i/>
          <w:iCs/>
          <w:lang w:val="en-GB"/>
        </w:rPr>
        <w:t xml:space="preserve">The number of towns by regions and districts </w:t>
      </w:r>
    </w:p>
    <w:p w:rsidR="005347E1" w:rsidRDefault="00026D0A">
      <w:pPr>
        <w:pStyle w:val="Metodpozn"/>
        <w:tabs>
          <w:tab w:val="clear" w:pos="180"/>
        </w:tabs>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83.25pt">
            <v:imagedata r:id="rId5" o:title=""/>
          </v:shape>
        </w:pict>
      </w:r>
    </w:p>
    <w:p w:rsidR="003F3355" w:rsidRDefault="003F3355">
      <w:pPr>
        <w:pStyle w:val="Metodpozn"/>
        <w:tabs>
          <w:tab w:val="clear" w:pos="180"/>
        </w:tabs>
        <w:ind w:firstLine="0"/>
        <w:rPr>
          <w:b/>
          <w:bCs w:val="0"/>
          <w:i/>
          <w:iCs/>
          <w:lang w:val="en-GB"/>
        </w:rPr>
      </w:pPr>
    </w:p>
    <w:p w:rsidR="005347E1" w:rsidRDefault="005347E1">
      <w:pPr>
        <w:pStyle w:val="Metodpozn"/>
        <w:rPr>
          <w:i/>
          <w:iCs/>
          <w:lang w:val="en-GB"/>
        </w:rPr>
      </w:pPr>
      <w:r>
        <w:rPr>
          <w:i/>
          <w:iCs/>
          <w:lang w:val="en-GB"/>
        </w:rPr>
        <w:t xml:space="preserve"> The population as of 3</w:t>
      </w:r>
      <w:r>
        <w:rPr>
          <w:i/>
          <w:iCs/>
          <w:color w:val="auto"/>
          <w:lang w:val="en-GB"/>
        </w:rPr>
        <w:t>1</w:t>
      </w:r>
      <w:r>
        <w:rPr>
          <w:i/>
          <w:iCs/>
          <w:lang w:val="en-GB"/>
        </w:rPr>
        <w:t xml:space="preserve"> December of given year is equal the population as of 1 January of the next year. And, the population as of 3</w:t>
      </w:r>
      <w:r>
        <w:rPr>
          <w:i/>
          <w:iCs/>
          <w:color w:val="auto"/>
          <w:lang w:val="en-GB"/>
        </w:rPr>
        <w:t>1</w:t>
      </w:r>
      <w:r>
        <w:rPr>
          <w:i/>
          <w:iCs/>
          <w:color w:val="auto"/>
          <w:vertAlign w:val="superscript"/>
          <w:lang w:val="en-GB"/>
        </w:rPr>
        <w:t> </w:t>
      </w:r>
      <w:r>
        <w:rPr>
          <w:i/>
          <w:iCs/>
          <w:lang w:val="en-GB"/>
        </w:rPr>
        <w:t xml:space="preserve">December of given year is computed as the population as of 1 January of given year plus total population increase. It is not true for years in which the population census was held, when the stock as of 31 December of the year before census is not equal the stock as of 1 January of census year. </w:t>
      </w:r>
    </w:p>
    <w:p w:rsidR="005347E1" w:rsidRDefault="005347E1">
      <w:pPr>
        <w:pStyle w:val="Metodpozn"/>
        <w:rPr>
          <w:i/>
          <w:iCs/>
          <w:lang w:val="en-GB"/>
        </w:rPr>
      </w:pPr>
      <w:r>
        <w:rPr>
          <w:i/>
          <w:iCs/>
          <w:lang w:val="en-GB"/>
        </w:rPr>
        <w:t xml:space="preserve">Besides natural increase and net migration the changes in numbers of inhabitants are referable to merging or separating of municipalities or their parts. The administrative changes concerning here-published towns are stated in the following table. </w:t>
      </w:r>
    </w:p>
    <w:p w:rsidR="005347E1" w:rsidRDefault="005347E1" w:rsidP="001A3A19">
      <w:pPr>
        <w:pStyle w:val="Metodpozn"/>
        <w:tabs>
          <w:tab w:val="clear" w:pos="180"/>
        </w:tabs>
        <w:spacing w:after="0"/>
        <w:ind w:firstLine="0"/>
        <w:rPr>
          <w:b/>
          <w:i/>
          <w:lang w:val="en-GB"/>
        </w:rPr>
      </w:pPr>
      <w:r>
        <w:rPr>
          <w:i/>
          <w:iCs/>
          <w:lang w:val="en-GB"/>
        </w:rPr>
        <w:br w:type="page"/>
      </w:r>
      <w:r>
        <w:rPr>
          <w:b/>
          <w:i/>
          <w:lang w:val="en-GB"/>
        </w:rPr>
        <w:lastRenderedPageBreak/>
        <w:t>The changes in administrative definition of selected towns:</w:t>
      </w:r>
    </w:p>
    <w:p w:rsidR="005347E1" w:rsidRDefault="00667A4C">
      <w:pPr>
        <w:pStyle w:val="Metodpozn"/>
        <w:ind w:firstLine="0"/>
        <w:rPr>
          <w:i/>
          <w:iCs/>
          <w:lang w:val="en-GB"/>
        </w:rPr>
      </w:pPr>
      <w:r w:rsidRPr="00667A4C">
        <w:pict>
          <v:shape id="_x0000_i1026" type="#_x0000_t75" style="width:442.5pt;height:243.75pt">
            <v:imagedata r:id="rId6" o:title=""/>
          </v:shape>
        </w:pict>
      </w:r>
    </w:p>
    <w:p w:rsidR="005347E1" w:rsidRDefault="005347E1">
      <w:pPr>
        <w:pStyle w:val="Metodpozn"/>
        <w:rPr>
          <w:i/>
          <w:iCs/>
          <w:lang w:val="en-GB"/>
        </w:rPr>
      </w:pPr>
      <w:r>
        <w:rPr>
          <w:i/>
          <w:iCs/>
          <w:lang w:val="en-GB"/>
        </w:rPr>
        <w:t>All data refer to the resident population of the town,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 May 2004, in accordance with amendment No. 326/1999 Coll., the figures include citizens of the European Union with temporary stay on the territory of the Czech Republic, and citizens of other countries with long-term stay. The data also contain information on events (marriages, births and deaths) of permanent residents of CR that occurred abroad.</w:t>
      </w:r>
    </w:p>
    <w:p w:rsidR="0028314D" w:rsidRPr="00B61BF9" w:rsidRDefault="0028314D" w:rsidP="0028314D">
      <w:pPr>
        <w:pStyle w:val="A-metodpozn-A"/>
        <w:rPr>
          <w:color w:val="000000"/>
        </w:rPr>
      </w:pPr>
      <w:r w:rsidRPr="00B61BF9">
        <w:rPr>
          <w:color w:val="000000"/>
        </w:rPr>
        <w:t xml:space="preserve">Definitions of </w:t>
      </w:r>
      <w:r w:rsidRPr="00B61BF9">
        <w:t>marriages</w:t>
      </w:r>
      <w:r w:rsidRPr="00B61BF9">
        <w:rPr>
          <w:color w:val="000000"/>
        </w:rPr>
        <w:t>, divorces, births, abortions and deaths and the derived indicators are given in the Demographic Yearbook of the Czech Republic (code 4019-13).</w:t>
      </w:r>
    </w:p>
    <w:p w:rsidR="005347E1" w:rsidRDefault="005347E1">
      <w:pPr>
        <w:pStyle w:val="Metodpozn"/>
        <w:rPr>
          <w:i/>
          <w:iCs/>
          <w:lang w:val="en-GB"/>
        </w:rPr>
      </w:pPr>
      <w:r>
        <w:rPr>
          <w:i/>
          <w:iCs/>
          <w:lang w:val="en-GB"/>
        </w:rPr>
        <w:t>Migration is the change in a place of permanent residence from municipality to municipality within the territory of the Czech Republic or across the borders of the Czech Republic (external migration). The total for both internal and external migration is described in the publication.</w:t>
      </w:r>
    </w:p>
    <w:p w:rsidR="005347E1" w:rsidRDefault="005347E1">
      <w:pPr>
        <w:autoSpaceDE w:val="0"/>
        <w:autoSpaceDN w:val="0"/>
        <w:adjustRightInd w:val="0"/>
        <w:spacing w:after="120"/>
        <w:rPr>
          <w:rFonts w:ascii="Arial" w:hAnsi="Arial" w:cs="Arial"/>
          <w:b/>
          <w:bCs/>
          <w:i/>
          <w:iCs/>
          <w:sz w:val="20"/>
          <w:szCs w:val="20"/>
          <w:lang w:val="en-GB"/>
        </w:rPr>
      </w:pPr>
      <w:r>
        <w:rPr>
          <w:rFonts w:ascii="Arial" w:hAnsi="Arial" w:cs="Arial"/>
          <w:b/>
          <w:bCs/>
          <w:i/>
          <w:iCs/>
          <w:sz w:val="20"/>
          <w:szCs w:val="20"/>
          <w:lang w:val="en-GB"/>
        </w:rPr>
        <w:t>Symbols used in tables:</w:t>
      </w:r>
    </w:p>
    <w:p w:rsidR="005347E1" w:rsidRDefault="005347E1">
      <w:pPr>
        <w:autoSpaceDE w:val="0"/>
        <w:autoSpaceDN w:val="0"/>
        <w:adjustRightInd w:val="0"/>
        <w:rPr>
          <w:rFonts w:ascii="Arial" w:hAnsi="Arial" w:cs="Arial"/>
          <w:i/>
          <w:iCs/>
          <w:sz w:val="20"/>
          <w:szCs w:val="20"/>
          <w:lang w:val="en-GB"/>
        </w:rPr>
      </w:pPr>
      <w:r>
        <w:rPr>
          <w:rFonts w:ascii="Arial" w:hAnsi="Arial" w:cs="Arial"/>
          <w:b/>
          <w:bCs/>
          <w:i/>
          <w:iCs/>
          <w:sz w:val="20"/>
          <w:szCs w:val="20"/>
          <w:lang w:val="en-GB"/>
        </w:rPr>
        <w:t>-</w:t>
      </w:r>
      <w:r>
        <w:rPr>
          <w:rFonts w:ascii="Arial" w:hAnsi="Arial" w:cs="Arial"/>
          <w:i/>
          <w:iCs/>
          <w:sz w:val="20"/>
          <w:szCs w:val="20"/>
          <w:lang w:val="en-GB"/>
        </w:rPr>
        <w:t xml:space="preserve">    The symbol of dash in place of a figure indicates that the phenomenon did not occur.</w:t>
      </w:r>
    </w:p>
    <w:p w:rsidR="005347E1" w:rsidRDefault="005347E1">
      <w:pPr>
        <w:autoSpaceDE w:val="0"/>
        <w:autoSpaceDN w:val="0"/>
        <w:adjustRightInd w:val="0"/>
        <w:rPr>
          <w:rFonts w:ascii="Arial" w:hAnsi="Arial" w:cs="Arial"/>
          <w:i/>
          <w:iCs/>
          <w:sz w:val="20"/>
          <w:szCs w:val="20"/>
          <w:lang w:val="en-GB"/>
        </w:rPr>
      </w:pPr>
      <w:r>
        <w:rPr>
          <w:rFonts w:ascii="Arial" w:hAnsi="Arial" w:cs="Arial"/>
          <w:b/>
          <w:bCs/>
          <w:i/>
          <w:iCs/>
          <w:sz w:val="20"/>
          <w:szCs w:val="20"/>
          <w:lang w:val="en-GB"/>
        </w:rPr>
        <w:t>.</w:t>
      </w:r>
      <w:r>
        <w:rPr>
          <w:rFonts w:ascii="Arial" w:hAnsi="Arial" w:cs="Arial"/>
          <w:i/>
          <w:iCs/>
          <w:sz w:val="20"/>
          <w:szCs w:val="20"/>
          <w:lang w:val="en-GB"/>
        </w:rPr>
        <w:t xml:space="preserve">    The symbol of dot shows that the figure is not available or cannot be relied on.</w:t>
      </w:r>
    </w:p>
    <w:p w:rsidR="005347E1" w:rsidRDefault="005347E1">
      <w:pPr>
        <w:autoSpaceDE w:val="0"/>
        <w:autoSpaceDN w:val="0"/>
        <w:adjustRightInd w:val="0"/>
        <w:rPr>
          <w:rFonts w:ascii="Arial" w:hAnsi="Arial" w:cs="Arial"/>
          <w:i/>
          <w:iCs/>
          <w:sz w:val="20"/>
          <w:szCs w:val="20"/>
          <w:lang w:val="en-GB"/>
        </w:rPr>
      </w:pPr>
      <w:proofErr w:type="gramStart"/>
      <w:r>
        <w:rPr>
          <w:rFonts w:ascii="Arial" w:hAnsi="Arial" w:cs="Arial"/>
          <w:b/>
          <w:bCs/>
          <w:i/>
          <w:iCs/>
          <w:sz w:val="20"/>
          <w:szCs w:val="20"/>
          <w:lang w:val="en-GB"/>
        </w:rPr>
        <w:t>x</w:t>
      </w:r>
      <w:proofErr w:type="gramEnd"/>
      <w:r>
        <w:rPr>
          <w:rFonts w:ascii="Arial" w:hAnsi="Arial" w:cs="Arial"/>
          <w:i/>
          <w:iCs/>
          <w:sz w:val="20"/>
          <w:szCs w:val="20"/>
          <w:lang w:val="en-GB"/>
        </w:rPr>
        <w:t xml:space="preserve">   The symbol of small cross shows that the figure is not applicable.</w:t>
      </w:r>
    </w:p>
    <w:p w:rsidR="005347E1" w:rsidRDefault="005347E1">
      <w:pPr>
        <w:autoSpaceDE w:val="0"/>
        <w:autoSpaceDN w:val="0"/>
        <w:adjustRightInd w:val="0"/>
        <w:rPr>
          <w:rFonts w:ascii="Arial" w:hAnsi="Arial" w:cs="Arial"/>
          <w:i/>
          <w:iCs/>
          <w:sz w:val="20"/>
          <w:szCs w:val="20"/>
          <w:lang w:val="en-GB"/>
        </w:rPr>
      </w:pPr>
      <w:r>
        <w:rPr>
          <w:rFonts w:ascii="Arial" w:hAnsi="Arial" w:cs="Arial"/>
          <w:b/>
          <w:bCs/>
          <w:i/>
          <w:iCs/>
          <w:sz w:val="20"/>
          <w:szCs w:val="20"/>
          <w:lang w:val="en-GB"/>
        </w:rPr>
        <w:t>0</w:t>
      </w:r>
      <w:r>
        <w:rPr>
          <w:rFonts w:ascii="Arial" w:hAnsi="Arial" w:cs="Arial"/>
          <w:i/>
          <w:iCs/>
          <w:sz w:val="20"/>
          <w:szCs w:val="20"/>
          <w:lang w:val="en-GB"/>
        </w:rPr>
        <w:t xml:space="preserve">   The symbol of zero in a table designates figures smaller than half of the unit of measure chosen.</w:t>
      </w:r>
    </w:p>
    <w:sectPr w:rsidR="005347E1" w:rsidSect="00A34A87">
      <w:pgSz w:w="11906" w:h="16838" w:code="9"/>
      <w:pgMar w:top="71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F1CC3"/>
    <w:multiLevelType w:val="multilevel"/>
    <w:tmpl w:val="3566E732"/>
    <w:lvl w:ilvl="0">
      <w:start w:val="1"/>
      <w:numFmt w:val="decimal"/>
      <w:pStyle w:val="A-Nadpis1"/>
      <w:suff w:val="space"/>
      <w:lvlText w:val="%1."/>
      <w:lvlJc w:val="left"/>
      <w:pPr>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46F"/>
    <w:rsid w:val="00026D0A"/>
    <w:rsid w:val="00032A24"/>
    <w:rsid w:val="0005729D"/>
    <w:rsid w:val="000B0949"/>
    <w:rsid w:val="000D7DE8"/>
    <w:rsid w:val="0014754C"/>
    <w:rsid w:val="0018546F"/>
    <w:rsid w:val="001A3A19"/>
    <w:rsid w:val="0028314D"/>
    <w:rsid w:val="002F2063"/>
    <w:rsid w:val="003C1317"/>
    <w:rsid w:val="003F3355"/>
    <w:rsid w:val="00425DCE"/>
    <w:rsid w:val="00484CD7"/>
    <w:rsid w:val="004D19AC"/>
    <w:rsid w:val="004F2357"/>
    <w:rsid w:val="005347E1"/>
    <w:rsid w:val="00667A4C"/>
    <w:rsid w:val="00947FFE"/>
    <w:rsid w:val="009E45BC"/>
    <w:rsid w:val="009F2592"/>
    <w:rsid w:val="00A312D3"/>
    <w:rsid w:val="00A34A87"/>
    <w:rsid w:val="00B067FB"/>
    <w:rsid w:val="00B21EE0"/>
    <w:rsid w:val="00B378B7"/>
    <w:rsid w:val="00D34256"/>
    <w:rsid w:val="00D857A3"/>
    <w:rsid w:val="00EE66D7"/>
    <w:rsid w:val="00F512F1"/>
    <w:rsid w:val="00FC613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A87"/>
    <w:rPr>
      <w:sz w:val="24"/>
      <w:szCs w:val="24"/>
    </w:rPr>
  </w:style>
  <w:style w:type="paragraph" w:styleId="Nadpis1">
    <w:name w:val="heading 1"/>
    <w:basedOn w:val="Normln"/>
    <w:next w:val="Normln"/>
    <w:qFormat/>
    <w:rsid w:val="00A34A87"/>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4A8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34A87"/>
    <w:pPr>
      <w:keepNext/>
      <w:spacing w:after="320"/>
      <w:jc w:val="both"/>
      <w:outlineLvl w:val="2"/>
    </w:pPr>
    <w:rPr>
      <w:rFonts w:ascii="Arial" w:hAnsi="Arial" w:cs="Arial"/>
      <w:b/>
      <w:bCs/>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vod">
    <w:name w:val="A-uvod"/>
    <w:basedOn w:val="Normln"/>
    <w:rsid w:val="00A34A87"/>
    <w:pPr>
      <w:autoSpaceDE w:val="0"/>
      <w:autoSpaceDN w:val="0"/>
      <w:adjustRightInd w:val="0"/>
      <w:spacing w:after="60" w:line="360" w:lineRule="auto"/>
      <w:ind w:firstLine="567"/>
      <w:jc w:val="both"/>
    </w:pPr>
    <w:rPr>
      <w:rFonts w:ascii="Arial" w:hAnsi="Arial"/>
      <w:sz w:val="22"/>
      <w:szCs w:val="22"/>
    </w:rPr>
  </w:style>
  <w:style w:type="paragraph" w:customStyle="1" w:styleId="A-Metodika">
    <w:name w:val="A-Metodika"/>
    <w:basedOn w:val="A-uvod"/>
    <w:rsid w:val="00A34A87"/>
    <w:rPr>
      <w:sz w:val="20"/>
    </w:rPr>
  </w:style>
  <w:style w:type="paragraph" w:customStyle="1" w:styleId="A-Nadpis1">
    <w:name w:val="A-Nadpis1"/>
    <w:basedOn w:val="Nadpis2"/>
    <w:next w:val="Zkladntext"/>
    <w:autoRedefine/>
    <w:rsid w:val="00A34A87"/>
    <w:pPr>
      <w:keepNext w:val="0"/>
      <w:pageBreakBefore/>
      <w:numPr>
        <w:numId w:val="1"/>
      </w:numPr>
      <w:spacing w:before="0" w:after="360"/>
      <w:outlineLvl w:val="0"/>
    </w:pPr>
    <w:rPr>
      <w:rFonts w:cs="Times New Roman"/>
      <w:i w:val="0"/>
      <w:iCs w:val="0"/>
      <w:color w:val="000000"/>
      <w:sz w:val="32"/>
      <w:szCs w:val="24"/>
    </w:rPr>
  </w:style>
  <w:style w:type="paragraph" w:styleId="Zkladntext">
    <w:name w:val="Body Text"/>
    <w:basedOn w:val="Normln"/>
    <w:semiHidden/>
    <w:rsid w:val="00A34A87"/>
    <w:pPr>
      <w:spacing w:after="120"/>
    </w:pPr>
  </w:style>
  <w:style w:type="paragraph" w:customStyle="1" w:styleId="A-Nadpis">
    <w:name w:val="A-Nadpis"/>
    <w:basedOn w:val="A-Nadpis1"/>
    <w:autoRedefine/>
    <w:rsid w:val="00A34A87"/>
    <w:pPr>
      <w:numPr>
        <w:numId w:val="0"/>
      </w:numPr>
    </w:pPr>
  </w:style>
  <w:style w:type="paragraph" w:customStyle="1" w:styleId="A-Nadpis1obsah">
    <w:name w:val="A-Nadpis1_obsah"/>
    <w:basedOn w:val="A-Nadpis1"/>
    <w:autoRedefine/>
    <w:rsid w:val="00A34A87"/>
    <w:pPr>
      <w:numPr>
        <w:numId w:val="0"/>
      </w:numPr>
      <w:tabs>
        <w:tab w:val="right" w:leader="dot" w:pos="9062"/>
      </w:tabs>
    </w:pPr>
  </w:style>
  <w:style w:type="paragraph" w:customStyle="1" w:styleId="A-Nadpis2">
    <w:name w:val="A-Nadpis2"/>
    <w:basedOn w:val="A-Nadpis1"/>
    <w:autoRedefine/>
    <w:rsid w:val="00A34A87"/>
    <w:pPr>
      <w:pageBreakBefore w:val="0"/>
      <w:numPr>
        <w:numId w:val="0"/>
      </w:numPr>
      <w:spacing w:before="480"/>
      <w:outlineLvl w:val="1"/>
    </w:pPr>
    <w:rPr>
      <w:i/>
      <w:sz w:val="28"/>
    </w:rPr>
  </w:style>
  <w:style w:type="paragraph" w:customStyle="1" w:styleId="A-Normln">
    <w:name w:val="A-Normální"/>
    <w:basedOn w:val="Zkladntext"/>
    <w:rsid w:val="00A34A87"/>
    <w:pPr>
      <w:spacing w:after="60"/>
      <w:ind w:firstLine="567"/>
      <w:jc w:val="both"/>
    </w:pPr>
    <w:rPr>
      <w:rFonts w:ascii="Arial" w:hAnsi="Arial"/>
      <w:sz w:val="20"/>
    </w:rPr>
  </w:style>
  <w:style w:type="paragraph" w:customStyle="1" w:styleId="A-Normlnnadpis">
    <w:name w:val="A-Normální nadpis"/>
    <w:basedOn w:val="A-Nadpis2"/>
    <w:next w:val="A-Normln"/>
    <w:rsid w:val="00A34A87"/>
  </w:style>
  <w:style w:type="paragraph" w:customStyle="1" w:styleId="A-Normlnbezodsa">
    <w:name w:val="A-Normální_bez_odsa"/>
    <w:basedOn w:val="A-Normln"/>
    <w:autoRedefine/>
    <w:rsid w:val="00A34A87"/>
    <w:pPr>
      <w:ind w:firstLine="0"/>
    </w:pPr>
  </w:style>
  <w:style w:type="paragraph" w:customStyle="1" w:styleId="A-tabvtextu">
    <w:name w:val="A-tab_v_textu"/>
    <w:basedOn w:val="Nadpis1"/>
    <w:autoRedefine/>
    <w:rsid w:val="00A34A87"/>
    <w:pPr>
      <w:widowControl w:val="0"/>
      <w:spacing w:after="120"/>
      <w:outlineLvl w:val="9"/>
    </w:pPr>
    <w:rPr>
      <w:rFonts w:cs="Times New Roman"/>
      <w:i/>
      <w:iCs/>
      <w:kern w:val="0"/>
      <w:sz w:val="20"/>
      <w:szCs w:val="24"/>
      <w:lang w:val="en-GB"/>
    </w:rPr>
  </w:style>
  <w:style w:type="paragraph" w:customStyle="1" w:styleId="A-tabvtext1">
    <w:name w:val="A-tab_v_text1"/>
    <w:basedOn w:val="A-tabvtextu"/>
    <w:next w:val="Normln"/>
    <w:autoRedefine/>
    <w:rsid w:val="00A34A87"/>
    <w:pPr>
      <w:spacing w:after="0"/>
    </w:pPr>
  </w:style>
  <w:style w:type="paragraph" w:customStyle="1" w:styleId="A-tabvtext2">
    <w:name w:val="A-tab_v_text2"/>
    <w:basedOn w:val="A-tabvtextu"/>
    <w:next w:val="A-Normln"/>
    <w:autoRedefine/>
    <w:rsid w:val="00A34A87"/>
    <w:pPr>
      <w:spacing w:before="0"/>
    </w:pPr>
    <w:rPr>
      <w:rFonts w:cs="Arial"/>
      <w:b w:val="0"/>
      <w:bCs w:val="0"/>
      <w:szCs w:val="18"/>
    </w:rPr>
  </w:style>
  <w:style w:type="paragraph" w:customStyle="1" w:styleId="brt-tabulkaplohovvlastn">
    <w:name w:val="brt-tabulka_přílohová_vlastní"/>
    <w:basedOn w:val="Normln"/>
    <w:rsid w:val="00A34A87"/>
    <w:pPr>
      <w:jc w:val="both"/>
    </w:pPr>
    <w:rPr>
      <w:rFonts w:ascii="Arial" w:hAnsi="Arial"/>
      <w:sz w:val="20"/>
    </w:rPr>
  </w:style>
  <w:style w:type="character" w:styleId="Zvraznn">
    <w:name w:val="Emphasis"/>
    <w:basedOn w:val="Standardnpsmoodstavce"/>
    <w:qFormat/>
    <w:rsid w:val="00A34A87"/>
    <w:rPr>
      <w:i/>
      <w:iCs/>
    </w:rPr>
  </w:style>
  <w:style w:type="paragraph" w:styleId="Zkladntextodsazen">
    <w:name w:val="Body Text Indent"/>
    <w:basedOn w:val="Normln"/>
    <w:semiHidden/>
    <w:rsid w:val="00A34A87"/>
    <w:pPr>
      <w:ind w:firstLine="708"/>
      <w:jc w:val="both"/>
    </w:pPr>
    <w:rPr>
      <w:rFonts w:ascii="Arial" w:eastAsia="Arial Unicode MS" w:hAnsi="Arial" w:cs="Arial"/>
    </w:rPr>
  </w:style>
  <w:style w:type="paragraph" w:styleId="Zkladntextodsazen2">
    <w:name w:val="Body Text Indent 2"/>
    <w:basedOn w:val="Normln"/>
    <w:semiHidden/>
    <w:rsid w:val="00A34A87"/>
    <w:pPr>
      <w:ind w:firstLine="708"/>
    </w:pPr>
    <w:rPr>
      <w:rFonts w:eastAsia="Arial Unicode MS"/>
      <w:i/>
      <w:iCs/>
    </w:rPr>
  </w:style>
  <w:style w:type="paragraph" w:styleId="Zkladntextodsazen3">
    <w:name w:val="Body Text Indent 3"/>
    <w:basedOn w:val="Normln"/>
    <w:semiHidden/>
    <w:rsid w:val="00A34A87"/>
    <w:pPr>
      <w:ind w:firstLine="708"/>
    </w:pPr>
    <w:rPr>
      <w:rFonts w:ascii="Arial" w:eastAsia="Arial Unicode MS" w:hAnsi="Arial" w:cs="Arial"/>
    </w:rPr>
  </w:style>
  <w:style w:type="paragraph" w:styleId="Normlnweb">
    <w:name w:val="Normal (Web)"/>
    <w:basedOn w:val="Normln"/>
    <w:semiHidden/>
    <w:rsid w:val="00A34A87"/>
    <w:pPr>
      <w:spacing w:before="100" w:beforeAutospacing="1" w:after="100" w:afterAutospacing="1"/>
    </w:pPr>
  </w:style>
  <w:style w:type="paragraph" w:customStyle="1" w:styleId="Metodpozn">
    <w:name w:val="Metod pozn"/>
    <w:basedOn w:val="Normln"/>
    <w:rsid w:val="00A34A87"/>
    <w:pPr>
      <w:tabs>
        <w:tab w:val="left" w:pos="180"/>
      </w:tabs>
      <w:autoSpaceDE w:val="0"/>
      <w:autoSpaceDN w:val="0"/>
      <w:adjustRightInd w:val="0"/>
      <w:spacing w:after="240"/>
      <w:ind w:firstLine="709"/>
      <w:jc w:val="both"/>
    </w:pPr>
    <w:rPr>
      <w:rFonts w:ascii="Arial" w:hAnsi="Arial" w:cs="Arial"/>
      <w:bCs/>
      <w:color w:val="000000"/>
      <w:sz w:val="20"/>
      <w:szCs w:val="20"/>
    </w:rPr>
  </w:style>
  <w:style w:type="paragraph" w:styleId="Zkladntext3">
    <w:name w:val="Body Text 3"/>
    <w:basedOn w:val="Normln"/>
    <w:semiHidden/>
    <w:rsid w:val="00A34A87"/>
    <w:pPr>
      <w:jc w:val="both"/>
    </w:pPr>
    <w:rPr>
      <w:rFonts w:ascii="Arial" w:hAnsi="Arial"/>
      <w:sz w:val="20"/>
    </w:rPr>
  </w:style>
  <w:style w:type="character" w:styleId="Hypertextovodkaz">
    <w:name w:val="Hyperlink"/>
    <w:basedOn w:val="Standardnpsmoodstavce"/>
    <w:semiHidden/>
    <w:rsid w:val="00A34A87"/>
    <w:rPr>
      <w:color w:val="0000FF"/>
      <w:u w:val="single"/>
    </w:rPr>
  </w:style>
  <w:style w:type="character" w:styleId="Sledovanodkaz">
    <w:name w:val="FollowedHyperlink"/>
    <w:basedOn w:val="Standardnpsmoodstavce"/>
    <w:semiHidden/>
    <w:rsid w:val="00A34A87"/>
    <w:rPr>
      <w:color w:val="800080"/>
      <w:u w:val="single"/>
    </w:rPr>
  </w:style>
  <w:style w:type="paragraph" w:styleId="Textbubliny">
    <w:name w:val="Balloon Text"/>
    <w:basedOn w:val="Normln"/>
    <w:link w:val="TextbublinyChar"/>
    <w:uiPriority w:val="99"/>
    <w:semiHidden/>
    <w:unhideWhenUsed/>
    <w:rsid w:val="009E45BC"/>
    <w:rPr>
      <w:rFonts w:ascii="Tahoma" w:hAnsi="Tahoma" w:cs="Tahoma"/>
      <w:sz w:val="16"/>
      <w:szCs w:val="16"/>
    </w:rPr>
  </w:style>
  <w:style w:type="character" w:customStyle="1" w:styleId="TextbublinyChar">
    <w:name w:val="Text bubliny Char"/>
    <w:basedOn w:val="Standardnpsmoodstavce"/>
    <w:link w:val="Textbubliny"/>
    <w:uiPriority w:val="99"/>
    <w:semiHidden/>
    <w:rsid w:val="009E45BC"/>
    <w:rPr>
      <w:rFonts w:ascii="Tahoma" w:hAnsi="Tahoma" w:cs="Tahoma"/>
      <w:sz w:val="16"/>
      <w:szCs w:val="16"/>
    </w:rPr>
  </w:style>
  <w:style w:type="paragraph" w:customStyle="1" w:styleId="A-metodpozn-A">
    <w:name w:val="A-metod.pozn-A"/>
    <w:basedOn w:val="Normln"/>
    <w:rsid w:val="0028314D"/>
    <w:pPr>
      <w:autoSpaceDE w:val="0"/>
      <w:autoSpaceDN w:val="0"/>
      <w:adjustRightInd w:val="0"/>
      <w:spacing w:after="360"/>
      <w:ind w:firstLine="567"/>
      <w:jc w:val="both"/>
    </w:pPr>
    <w:rPr>
      <w:rFonts w:ascii="Arial" w:hAnsi="Arial" w:cs="Arial"/>
      <w:i/>
      <w:iCs/>
      <w:sz w:val="20"/>
      <w:szCs w:val="20"/>
      <w:lang w:val="en-GB"/>
    </w:rPr>
  </w:style>
</w:styles>
</file>

<file path=word/webSettings.xml><?xml version="1.0" encoding="utf-8"?>
<w:webSettings xmlns:r="http://schemas.openxmlformats.org/officeDocument/2006/relationships" xmlns:w="http://schemas.openxmlformats.org/wordprocessingml/2006/main">
  <w:divs>
    <w:div w:id="5857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Formul&#225;&#345;e\Normal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Template>
  <TotalTime>6</TotalTime>
  <Pages>2</Pages>
  <Words>422</Words>
  <Characters>2494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Úvod</vt:lpstr>
    </vt:vector>
  </TitlesOfParts>
  <Company>CSU</Company>
  <LinksUpToDate>false</LinksUpToDate>
  <CharactersWithSpaces>2911</CharactersWithSpaces>
  <SharedDoc>false</SharedDoc>
  <HLinks>
    <vt:vector size="6" baseType="variant">
      <vt:variant>
        <vt:i4>4391002</vt:i4>
      </vt:variant>
      <vt:variant>
        <vt:i4>0</vt:i4>
      </vt:variant>
      <vt:variant>
        <vt:i4>0</vt:i4>
      </vt:variant>
      <vt:variant>
        <vt:i4>5</vt:i4>
      </vt:variant>
      <vt:variant>
        <vt:lpwstr>http://www.czso.cz/csu/2004edicniplan.nsf/p/4128-04/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creator>Jan Bílík</dc:creator>
  <cp:lastModifiedBy>Jan Bílík</cp:lastModifiedBy>
  <cp:revision>5</cp:revision>
  <cp:lastPrinted>2013-01-15T09:01:00Z</cp:lastPrinted>
  <dcterms:created xsi:type="dcterms:W3CDTF">2014-03-05T12:15:00Z</dcterms:created>
  <dcterms:modified xsi:type="dcterms:W3CDTF">2014-07-25T06:06:00Z</dcterms:modified>
</cp:coreProperties>
</file>